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33" w:rsidRDefault="0068332B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>和鼎铜业</w:t>
      </w: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>
        <w:rPr>
          <w:rFonts w:ascii="宋体" w:hAnsi="宋体" w:cs="宋体" w:hint="eastAsia"/>
          <w:b/>
          <w:bCs/>
          <w:sz w:val="32"/>
          <w:szCs w:val="32"/>
        </w:rPr>
        <w:t>公司闲置设备清单</w:t>
      </w:r>
    </w:p>
    <w:tbl>
      <w:tblPr>
        <w:tblW w:w="12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5"/>
        <w:gridCol w:w="1843"/>
        <w:gridCol w:w="6804"/>
        <w:gridCol w:w="1276"/>
        <w:gridCol w:w="1559"/>
        <w:gridCol w:w="705"/>
      </w:tblGrid>
      <w:tr w:rsidR="009F6718" w:rsidTr="009F6718">
        <w:trPr>
          <w:trHeight w:val="658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规格、型号、主要技术参数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设备原值</w:t>
            </w:r>
          </w:p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原合同号</w:t>
            </w:r>
          </w:p>
        </w:tc>
        <w:tc>
          <w:tcPr>
            <w:tcW w:w="705" w:type="dxa"/>
            <w:vAlign w:val="center"/>
          </w:tcPr>
          <w:p w:rsidR="009F6718" w:rsidRDefault="009F6718" w:rsidP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处置</w:t>
            </w:r>
          </w:p>
        </w:tc>
      </w:tr>
      <w:tr w:rsidR="009F6718" w:rsidTr="009F6718">
        <w:trPr>
          <w:trHeight w:val="1113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转炉高排风机</w:t>
            </w:r>
          </w:p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（2台）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FW6-2×29№22.5F，Q=187200m3/h，升压P=4500pa，介质密度：0.634Kg/m³，主机转速：980r/min，变频调节转速，单级叶轮双吸入双支撑离心式引风机。带稀油润滑装置。型号XYZ-66-1，工作压力：0.4MPa，6L/min，容积0.18m³，过滤精度：0.07um，过滤流量：2m³/H,电加热：1Kw。</w:t>
            </w:r>
          </w:p>
        </w:tc>
        <w:tc>
          <w:tcPr>
            <w:tcW w:w="1276" w:type="dxa"/>
            <w:vMerge w:val="restart"/>
            <w:vAlign w:val="center"/>
          </w:tcPr>
          <w:p w:rsidR="009F6718" w:rsidRDefault="009F6718">
            <w:pPr>
              <w:ind w:firstLineChars="100" w:firstLine="241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共263</w:t>
            </w:r>
          </w:p>
        </w:tc>
        <w:tc>
          <w:tcPr>
            <w:tcW w:w="1559" w:type="dxa"/>
            <w:vMerge w:val="restart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XGS2011011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 xml:space="preserve">折价出售 </w:t>
            </w:r>
          </w:p>
        </w:tc>
      </w:tr>
      <w:tr w:rsidR="009F6718" w:rsidTr="009F6718">
        <w:trPr>
          <w:trHeight w:val="1113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熔炼炉高排风机</w:t>
            </w:r>
            <w:r w:rsidR="00C65F1F">
              <w:rPr>
                <w:rFonts w:ascii="宋体" w:cs="宋体" w:hint="eastAsia"/>
                <w:b/>
                <w:bCs/>
                <w:sz w:val="24"/>
              </w:rPr>
              <w:t>（2台）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型号FW6-2×29№20·5F、工况风量165800 m3/h、全压3700pa、功率250kw、最高转速980r/min，变频调节转速      单级叶轮双吸入双支撑离心式引风机。带稀油润滑装置。型号XYZ-6G-T.容积0.18m3.公称压力0.4MPa.换热面积0.8m2</w:t>
            </w:r>
          </w:p>
        </w:tc>
        <w:tc>
          <w:tcPr>
            <w:tcW w:w="1276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5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1#阳极炉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Φ4300*14000，壳体厚度50/55mm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548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XGS2011025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410"/>
          <w:jc w:val="center"/>
        </w:trPr>
        <w:tc>
          <w:tcPr>
            <w:tcW w:w="645" w:type="dxa"/>
            <w:vMerge w:val="restart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9F6718" w:rsidRDefault="009F6718">
            <w:pPr>
              <w:tabs>
                <w:tab w:val="left" w:pos="563"/>
              </w:tabs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1#阳极炉炉体驱动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主减速机P417W-160VITYZR35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47.05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XGS2011022</w:t>
            </w:r>
          </w:p>
        </w:tc>
        <w:tc>
          <w:tcPr>
            <w:tcW w:w="705" w:type="dxa"/>
            <w:vMerge w:val="restart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275"/>
          <w:jc w:val="center"/>
        </w:trPr>
        <w:tc>
          <w:tcPr>
            <w:tcW w:w="645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F6718" w:rsidRDefault="009F6718">
            <w:pPr>
              <w:tabs>
                <w:tab w:val="left" w:pos="563"/>
              </w:tabs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电机5L1-8-AH480,110KW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4.55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XGS2011037</w:t>
            </w:r>
          </w:p>
        </w:tc>
        <w:tc>
          <w:tcPr>
            <w:tcW w:w="705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9F6718" w:rsidTr="009F6718">
        <w:trPr>
          <w:trHeight w:val="1113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1#阳极炉炉体副驱动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副减速机R202-12.5IIT,功率；34Kw，输入转速；775r/min， 速比12.842：1，制造编号3PR110668，执行标准JB/T10467-2004，出厂编号1110062，制造日期2011-10，润滑油品ISO-L-CKC320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1.8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XGS2011022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110"/>
          <w:jc w:val="center"/>
        </w:trPr>
        <w:tc>
          <w:tcPr>
            <w:tcW w:w="645" w:type="dxa"/>
            <w:vMerge w:val="restart"/>
            <w:vAlign w:val="center"/>
          </w:tcPr>
          <w:p w:rsidR="009F6718" w:rsidRDefault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干式多片电磁离合器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DLM10-400AGL</w:t>
            </w:r>
            <w:r>
              <w:rPr>
                <w:rFonts w:ascii="宋体" w:cs="宋体" w:hint="eastAsia"/>
                <w:b/>
                <w:bCs/>
                <w:sz w:val="24"/>
              </w:rPr>
              <w:br/>
              <w:t>（DLM10-400AG天津机床电器有限公司2019.4）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2.51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XGS2011043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563"/>
          <w:jc w:val="center"/>
        </w:trPr>
        <w:tc>
          <w:tcPr>
            <w:tcW w:w="645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6804" w:type="dxa"/>
            <w:vAlign w:val="center"/>
          </w:tcPr>
          <w:p w:rsidR="009F6718" w:rsidRDefault="009F6718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配套电动机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1.33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XGS2019066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液压站高排冷却水泵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电机YE4-160M2-2,泵JNW80-11，Q=50m3/h,H=50m，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0.85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XFS2022030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499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炉口水套水泵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YE4-200L2-2,水泵JNW125-11，流量138m3/h，扬程60m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2.49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XGS2022030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喷淋泵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电机YE4-315S-2,泵参数JNS150-23,流量265m3/h，扬程103m</w:t>
            </w:r>
          </w:p>
        </w:tc>
        <w:tc>
          <w:tcPr>
            <w:tcW w:w="1276" w:type="dxa"/>
            <w:vAlign w:val="center"/>
          </w:tcPr>
          <w:p w:rsidR="009F6718" w:rsidRDefault="009F6718" w:rsidP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9.58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XGS2022030</w:t>
            </w:r>
          </w:p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HD-WS-2023001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 w:rsidP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水槽泵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YE4-225M-4,泵参数JNW200-22,流量390m3/h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3.89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XGS2022030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 w:rsidP="009F67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炉口水套上塔泵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电机型号YE4-180M-4，泵型号JNW200-3,流量280m3/h，扬程16m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2.39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XGS2022030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Merge w:val="restart"/>
            <w:vAlign w:val="center"/>
          </w:tcPr>
          <w:p w:rsidR="009F6718" w:rsidRDefault="009F6718" w:rsidP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12</w:t>
            </w:r>
          </w:p>
        </w:tc>
        <w:tc>
          <w:tcPr>
            <w:tcW w:w="1843" w:type="dxa"/>
            <w:vMerge w:val="restart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一期圆盘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江铜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950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XGS2011049</w:t>
            </w:r>
          </w:p>
        </w:tc>
        <w:tc>
          <w:tcPr>
            <w:tcW w:w="705" w:type="dxa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天鑫16模双圆盘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152.5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XGS2019132</w:t>
            </w:r>
          </w:p>
        </w:tc>
        <w:tc>
          <w:tcPr>
            <w:tcW w:w="705" w:type="dxa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344"/>
          <w:jc w:val="center"/>
        </w:trPr>
        <w:tc>
          <w:tcPr>
            <w:tcW w:w="645" w:type="dxa"/>
            <w:vAlign w:val="center"/>
          </w:tcPr>
          <w:p w:rsidR="009F6718" w:rsidRDefault="009F6718" w:rsidP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打包机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Y81/T-250型金属液压打包机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31.8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XGS2012068</w:t>
            </w:r>
          </w:p>
        </w:tc>
        <w:tc>
          <w:tcPr>
            <w:tcW w:w="705" w:type="dxa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铜模制备装置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江铜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37.8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XGS2021112</w:t>
            </w:r>
          </w:p>
        </w:tc>
        <w:tc>
          <w:tcPr>
            <w:tcW w:w="705" w:type="dxa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总降变压器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SZ11-40000/110 额定容量40000KVA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XGS2011100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总降变压器</w:t>
            </w:r>
          </w:p>
        </w:tc>
        <w:tc>
          <w:tcPr>
            <w:tcW w:w="6804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SZ11-31500/110 额定容量31500KVA</w:t>
            </w:r>
          </w:p>
        </w:tc>
        <w:tc>
          <w:tcPr>
            <w:tcW w:w="1276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160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XGS2011100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  <w:tr w:rsidR="009F6718" w:rsidTr="009F6718">
        <w:trPr>
          <w:trHeight w:val="70"/>
          <w:jc w:val="center"/>
        </w:trPr>
        <w:tc>
          <w:tcPr>
            <w:tcW w:w="64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9F6718" w:rsidRPr="009F6718" w:rsidRDefault="009F6718" w:rsidP="00E134AF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9F6718">
              <w:rPr>
                <w:rFonts w:ascii="宋体" w:cs="宋体" w:hint="eastAsia"/>
                <w:b/>
                <w:bCs/>
                <w:sz w:val="24"/>
              </w:rPr>
              <w:t>渣缓冷离心泵</w:t>
            </w:r>
          </w:p>
        </w:tc>
        <w:tc>
          <w:tcPr>
            <w:tcW w:w="6804" w:type="dxa"/>
            <w:vAlign w:val="center"/>
          </w:tcPr>
          <w:p w:rsidR="009F6718" w:rsidRPr="009F6718" w:rsidRDefault="009F6718" w:rsidP="00E134AF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9F6718">
              <w:rPr>
                <w:rFonts w:ascii="宋体" w:cs="宋体" w:hint="eastAsia"/>
                <w:b/>
                <w:bCs/>
                <w:sz w:val="24"/>
              </w:rPr>
              <w:t>KQSN350-M20S/273</w:t>
            </w:r>
          </w:p>
        </w:tc>
        <w:tc>
          <w:tcPr>
            <w:tcW w:w="1276" w:type="dxa"/>
            <w:vAlign w:val="center"/>
          </w:tcPr>
          <w:p w:rsidR="009F6718" w:rsidRPr="009F6718" w:rsidRDefault="009F6718" w:rsidP="00E134AF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9F6718">
              <w:rPr>
                <w:rFonts w:ascii="宋体" w:cs="宋体" w:hint="eastAsia"/>
                <w:b/>
                <w:bCs/>
                <w:sz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bookmarkStart w:id="0" w:name="_GoBack"/>
            <w:bookmarkEnd w:id="0"/>
            <w:r w:rsidRPr="009F6718">
              <w:rPr>
                <w:rFonts w:ascii="宋体" w:cs="宋体" w:hint="eastAsia"/>
                <w:b/>
                <w:bCs/>
                <w:sz w:val="24"/>
              </w:rPr>
              <w:t>HDSB2019005</w:t>
            </w:r>
          </w:p>
        </w:tc>
        <w:tc>
          <w:tcPr>
            <w:tcW w:w="705" w:type="dxa"/>
            <w:vAlign w:val="center"/>
          </w:tcPr>
          <w:p w:rsidR="009F6718" w:rsidRDefault="009F671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折价出售</w:t>
            </w:r>
          </w:p>
        </w:tc>
      </w:tr>
    </w:tbl>
    <w:p w:rsidR="00150033" w:rsidRDefault="00150033">
      <w:pPr>
        <w:rPr>
          <w:rFonts w:ascii="宋体" w:cs="宋体"/>
          <w:b/>
          <w:bCs/>
          <w:sz w:val="24"/>
        </w:rPr>
      </w:pPr>
    </w:p>
    <w:sectPr w:rsidR="00150033" w:rsidSect="00150033">
      <w:pgSz w:w="15840" w:h="122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807" w:rsidRDefault="00DA0807" w:rsidP="009F6718">
      <w:r>
        <w:separator/>
      </w:r>
    </w:p>
  </w:endnote>
  <w:endnote w:type="continuationSeparator" w:id="1">
    <w:p w:rsidR="00DA0807" w:rsidRDefault="00DA0807" w:rsidP="009F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807" w:rsidRDefault="00DA0807" w:rsidP="009F6718">
      <w:r>
        <w:separator/>
      </w:r>
    </w:p>
  </w:footnote>
  <w:footnote w:type="continuationSeparator" w:id="1">
    <w:p w:rsidR="00DA0807" w:rsidRDefault="00DA0807" w:rsidP="009F6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6563"/>
    <w:multiLevelType w:val="multilevel"/>
    <w:tmpl w:val="69996563"/>
    <w:lvl w:ilvl="0">
      <w:start w:val="2"/>
      <w:numFmt w:val="japaneseCounting"/>
      <w:pStyle w:val="a"/>
      <w:lvlText w:val="第%1条"/>
      <w:lvlJc w:val="left"/>
      <w:pPr>
        <w:tabs>
          <w:tab w:val="left" w:pos="1155"/>
        </w:tabs>
        <w:ind w:left="1155" w:hanging="1155"/>
      </w:pPr>
      <w:rPr>
        <w:rFonts w:cs="Times New Roman" w:hint="default"/>
      </w:rPr>
    </w:lvl>
    <w:lvl w:ilvl="1">
      <w:start w:val="2"/>
      <w:numFmt w:val="japaneseCounting"/>
      <w:lvlText w:val="第%2章"/>
      <w:lvlJc w:val="left"/>
      <w:pPr>
        <w:tabs>
          <w:tab w:val="left" w:pos="1530"/>
        </w:tabs>
        <w:ind w:left="1530" w:hanging="11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ExN2RlMDA0MjhjNzFjNjQyMDZkZmJkZTdiMjE2N2IifQ=="/>
  </w:docVars>
  <w:rsids>
    <w:rsidRoot w:val="00E83CFE"/>
    <w:rsid w:val="00093C85"/>
    <w:rsid w:val="00127CEF"/>
    <w:rsid w:val="00150033"/>
    <w:rsid w:val="0019603F"/>
    <w:rsid w:val="001C7396"/>
    <w:rsid w:val="001E08A1"/>
    <w:rsid w:val="00333AEB"/>
    <w:rsid w:val="0037240D"/>
    <w:rsid w:val="0047536B"/>
    <w:rsid w:val="00561E73"/>
    <w:rsid w:val="0068332B"/>
    <w:rsid w:val="006B7A69"/>
    <w:rsid w:val="007910F6"/>
    <w:rsid w:val="008D1531"/>
    <w:rsid w:val="009F6718"/>
    <w:rsid w:val="00A1598B"/>
    <w:rsid w:val="00A3365D"/>
    <w:rsid w:val="00AE1232"/>
    <w:rsid w:val="00C65F1F"/>
    <w:rsid w:val="00D342AE"/>
    <w:rsid w:val="00DA0807"/>
    <w:rsid w:val="00DB7B84"/>
    <w:rsid w:val="00E83CFE"/>
    <w:rsid w:val="00E92540"/>
    <w:rsid w:val="02B726F0"/>
    <w:rsid w:val="04260C13"/>
    <w:rsid w:val="05B5429B"/>
    <w:rsid w:val="06E93094"/>
    <w:rsid w:val="08905B7A"/>
    <w:rsid w:val="0C592115"/>
    <w:rsid w:val="0F8A7BCF"/>
    <w:rsid w:val="1245466D"/>
    <w:rsid w:val="15B11557"/>
    <w:rsid w:val="172C5003"/>
    <w:rsid w:val="1B8A679C"/>
    <w:rsid w:val="25CE6675"/>
    <w:rsid w:val="28B60069"/>
    <w:rsid w:val="2DC74558"/>
    <w:rsid w:val="3FD27A94"/>
    <w:rsid w:val="467A16A6"/>
    <w:rsid w:val="47E67EC3"/>
    <w:rsid w:val="4F9D1CB9"/>
    <w:rsid w:val="5D1125BF"/>
    <w:rsid w:val="5F5F4E16"/>
    <w:rsid w:val="62383A40"/>
    <w:rsid w:val="67B60373"/>
    <w:rsid w:val="6BD9438E"/>
    <w:rsid w:val="746A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003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qFormat/>
    <w:rsid w:val="00150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0"/>
    <w:link w:val="Char0"/>
    <w:uiPriority w:val="99"/>
    <w:unhideWhenUsed/>
    <w:qFormat/>
    <w:rsid w:val="00150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0"/>
    <w:uiPriority w:val="99"/>
    <w:unhideWhenUsed/>
    <w:qFormat/>
    <w:rsid w:val="001500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qFormat/>
    <w:rsid w:val="00150033"/>
    <w:rPr>
      <w:rFonts w:cs="Times New Roman"/>
    </w:rPr>
  </w:style>
  <w:style w:type="character" w:styleId="a8">
    <w:name w:val="Hyperlink"/>
    <w:uiPriority w:val="99"/>
    <w:unhideWhenUsed/>
    <w:qFormat/>
    <w:rsid w:val="00150033"/>
    <w:rPr>
      <w:color w:val="000000"/>
      <w:sz w:val="19"/>
      <w:szCs w:val="19"/>
      <w:u w:val="single"/>
    </w:rPr>
  </w:style>
  <w:style w:type="character" w:customStyle="1" w:styleId="FooterChar">
    <w:name w:val="Footer Char"/>
    <w:qFormat/>
    <w:locked/>
    <w:rsid w:val="00150033"/>
    <w:rPr>
      <w:rFonts w:cs="Times New Roman"/>
      <w:kern w:val="2"/>
      <w:sz w:val="18"/>
      <w:szCs w:val="18"/>
    </w:rPr>
  </w:style>
  <w:style w:type="character" w:customStyle="1" w:styleId="Char1">
    <w:name w:val="发布部门 Char"/>
    <w:qFormat/>
    <w:rsid w:val="00150033"/>
    <w:rPr>
      <w:rFonts w:ascii="宋体" w:eastAsia="宋体" w:cs="Times New Roman"/>
      <w:b/>
      <w:spacing w:val="20"/>
      <w:w w:val="135"/>
      <w:sz w:val="36"/>
      <w:lang w:val="en-US" w:eastAsia="zh-CN" w:bidi="ar-SA"/>
    </w:rPr>
  </w:style>
  <w:style w:type="character" w:customStyle="1" w:styleId="apple-converted-space">
    <w:name w:val="apple-converted-space"/>
    <w:basedOn w:val="a1"/>
    <w:qFormat/>
    <w:rsid w:val="00150033"/>
  </w:style>
  <w:style w:type="character" w:customStyle="1" w:styleId="Char">
    <w:name w:val="页脚 Char"/>
    <w:link w:val="a4"/>
    <w:uiPriority w:val="99"/>
    <w:qFormat/>
    <w:rsid w:val="00150033"/>
    <w:rPr>
      <w:sz w:val="18"/>
      <w:szCs w:val="18"/>
    </w:rPr>
  </w:style>
  <w:style w:type="character" w:customStyle="1" w:styleId="a9">
    <w:name w:val="发布"/>
    <w:qFormat/>
    <w:rsid w:val="00150033"/>
    <w:rPr>
      <w:rFonts w:ascii="黑体" w:eastAsia="黑体" w:cs="Times New Roman"/>
      <w:spacing w:val="22"/>
      <w:w w:val="100"/>
      <w:position w:val="3"/>
      <w:sz w:val="28"/>
    </w:rPr>
  </w:style>
  <w:style w:type="character" w:customStyle="1" w:styleId="HeaderChar">
    <w:name w:val="Header Char"/>
    <w:semiHidden/>
    <w:qFormat/>
    <w:locked/>
    <w:rsid w:val="00150033"/>
    <w:rPr>
      <w:rFonts w:cs="Times New Roman"/>
      <w:sz w:val="18"/>
      <w:szCs w:val="18"/>
    </w:rPr>
  </w:style>
  <w:style w:type="character" w:customStyle="1" w:styleId="Char0">
    <w:name w:val="页眉 Char"/>
    <w:link w:val="a5"/>
    <w:uiPriority w:val="99"/>
    <w:qFormat/>
    <w:rsid w:val="00150033"/>
    <w:rPr>
      <w:sz w:val="18"/>
      <w:szCs w:val="18"/>
    </w:rPr>
  </w:style>
  <w:style w:type="character" w:customStyle="1" w:styleId="Char10">
    <w:name w:val="页脚 Char1"/>
    <w:basedOn w:val="a1"/>
    <w:uiPriority w:val="99"/>
    <w:semiHidden/>
    <w:qFormat/>
    <w:rsid w:val="00150033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1"/>
    <w:uiPriority w:val="99"/>
    <w:semiHidden/>
    <w:qFormat/>
    <w:rsid w:val="00150033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封面标准号2"/>
    <w:basedOn w:val="a0"/>
    <w:qFormat/>
    <w:rsid w:val="00150033"/>
    <w:pPr>
      <w:framePr w:w="9138" w:h="1244" w:hRule="exact" w:wrap="around" w:vAnchor="page" w:hAnchor="margin" w:y="2909" w:anchorLock="1"/>
      <w:widowControl/>
      <w:kinsoku w:val="0"/>
      <w:overflowPunct w:val="0"/>
      <w:autoSpaceDE w:val="0"/>
      <w:autoSpaceDN w:val="0"/>
      <w:adjustRightInd w:val="0"/>
      <w:snapToGrid w:val="0"/>
      <w:spacing w:before="357" w:after="200" w:line="280" w:lineRule="exact"/>
      <w:jc w:val="right"/>
      <w:textAlignment w:val="center"/>
    </w:pPr>
    <w:rPr>
      <w:rFonts w:ascii="Tahoma" w:eastAsia="微软雅黑" w:hAnsi="Tahoma"/>
      <w:kern w:val="0"/>
      <w:sz w:val="28"/>
      <w:szCs w:val="20"/>
    </w:rPr>
  </w:style>
  <w:style w:type="paragraph" w:customStyle="1" w:styleId="aa">
    <w:name w:val="文献分类号"/>
    <w:qFormat/>
    <w:rsid w:val="00150033"/>
    <w:pPr>
      <w:framePr w:hSpace="180" w:vSpace="180" w:wrap="around" w:hAnchor="margin" w:y="2" w:anchorLock="1"/>
      <w:widowControl w:val="0"/>
      <w:textAlignment w:val="center"/>
    </w:pPr>
    <w:rPr>
      <w:rFonts w:eastAsia="黑体"/>
      <w:sz w:val="21"/>
      <w:szCs w:val="22"/>
    </w:rPr>
  </w:style>
  <w:style w:type="paragraph" w:customStyle="1" w:styleId="ab">
    <w:name w:val="标准书眉_奇数页"/>
    <w:next w:val="a0"/>
    <w:qFormat/>
    <w:rsid w:val="00150033"/>
    <w:pPr>
      <w:tabs>
        <w:tab w:val="center" w:pos="4154"/>
        <w:tab w:val="right" w:pos="8306"/>
      </w:tabs>
      <w:spacing w:after="120"/>
      <w:jc w:val="right"/>
    </w:pPr>
    <w:rPr>
      <w:rFonts w:eastAsia="微软雅黑"/>
      <w:sz w:val="21"/>
      <w:szCs w:val="22"/>
    </w:rPr>
  </w:style>
  <w:style w:type="paragraph" w:customStyle="1" w:styleId="ac">
    <w:name w:val="封面标准代替信息"/>
    <w:basedOn w:val="a0"/>
    <w:qFormat/>
    <w:rsid w:val="00150033"/>
    <w:pPr>
      <w:framePr w:w="9138" w:h="1244" w:hRule="exact" w:wrap="around" w:vAnchor="page" w:hAnchor="margin" w:y="2910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/>
      <w:kern w:val="0"/>
      <w:szCs w:val="20"/>
    </w:rPr>
  </w:style>
  <w:style w:type="paragraph" w:customStyle="1" w:styleId="a">
    <w:name w:val="前言、引言标题"/>
    <w:next w:val="a0"/>
    <w:qFormat/>
    <w:rsid w:val="00150033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szCs w:val="22"/>
    </w:rPr>
  </w:style>
  <w:style w:type="paragraph" w:customStyle="1" w:styleId="ad">
    <w:name w:val="其他标准称谓"/>
    <w:qFormat/>
    <w:rsid w:val="00150033"/>
    <w:pPr>
      <w:spacing w:line="240" w:lineRule="atLeast"/>
      <w:jc w:val="distribute"/>
    </w:pPr>
    <w:rPr>
      <w:rFonts w:ascii="黑体" w:eastAsia="黑体" w:hAnsi="宋体"/>
      <w:sz w:val="52"/>
      <w:szCs w:val="22"/>
    </w:rPr>
  </w:style>
  <w:style w:type="paragraph" w:customStyle="1" w:styleId="ae">
    <w:name w:val="封面标准文稿编辑信息"/>
    <w:qFormat/>
    <w:rsid w:val="00150033"/>
    <w:pPr>
      <w:spacing w:before="180" w:line="180" w:lineRule="exact"/>
      <w:jc w:val="center"/>
    </w:pPr>
    <w:rPr>
      <w:rFonts w:ascii="宋体" w:eastAsia="微软雅黑"/>
      <w:sz w:val="21"/>
      <w:szCs w:val="22"/>
    </w:rPr>
  </w:style>
  <w:style w:type="paragraph" w:customStyle="1" w:styleId="af">
    <w:name w:val="标准书眉_偶数页"/>
    <w:basedOn w:val="ab"/>
    <w:next w:val="a0"/>
    <w:qFormat/>
    <w:rsid w:val="00150033"/>
    <w:pPr>
      <w:jc w:val="left"/>
    </w:pPr>
  </w:style>
  <w:style w:type="paragraph" w:customStyle="1" w:styleId="af0">
    <w:name w:val="标准标志"/>
    <w:next w:val="a0"/>
    <w:qFormat/>
    <w:rsid w:val="00150033"/>
    <w:pPr>
      <w:framePr w:w="2268" w:h="1392" w:hRule="exact" w:wrap="around" w:hAnchor="margin" w:x="6749" w:y="172" w:anchorLock="1"/>
      <w:shd w:val="solid" w:color="FFFFFF" w:fill="FFFFFF"/>
      <w:spacing w:line="240" w:lineRule="atLeast"/>
      <w:jc w:val="right"/>
    </w:pPr>
    <w:rPr>
      <w:rFonts w:eastAsia="微软雅黑"/>
      <w:b/>
      <w:w w:val="130"/>
      <w:sz w:val="96"/>
      <w:szCs w:val="22"/>
    </w:rPr>
  </w:style>
  <w:style w:type="paragraph" w:customStyle="1" w:styleId="af1">
    <w:name w:val="标准书脚_奇数页"/>
    <w:qFormat/>
    <w:rsid w:val="00150033"/>
    <w:pPr>
      <w:spacing w:before="120"/>
      <w:jc w:val="right"/>
    </w:pPr>
    <w:rPr>
      <w:rFonts w:eastAsia="微软雅黑"/>
      <w:sz w:val="18"/>
      <w:szCs w:val="22"/>
    </w:rPr>
  </w:style>
  <w:style w:type="paragraph" w:customStyle="1" w:styleId="af2">
    <w:name w:val="实施日期"/>
    <w:basedOn w:val="af3"/>
    <w:qFormat/>
    <w:rsid w:val="00150033"/>
    <w:pPr>
      <w:framePr w:hSpace="0" w:wrap="around" w:vAnchor="text" w:hAnchor="text" w:xAlign="right"/>
      <w:jc w:val="right"/>
    </w:pPr>
  </w:style>
  <w:style w:type="paragraph" w:customStyle="1" w:styleId="af3">
    <w:name w:val="发布日期"/>
    <w:qFormat/>
    <w:rsid w:val="00150033"/>
    <w:pPr>
      <w:framePr w:w="4000" w:h="473" w:hRule="exact" w:hSpace="180" w:vSpace="180" w:wrap="around" w:hAnchor="margin" w:y="13512" w:anchorLock="1"/>
    </w:pPr>
    <w:rPr>
      <w:rFonts w:eastAsia="黑体"/>
      <w:sz w:val="28"/>
      <w:szCs w:val="22"/>
    </w:rPr>
  </w:style>
  <w:style w:type="paragraph" w:customStyle="1" w:styleId="af4">
    <w:name w:val="其他发布部门"/>
    <w:basedOn w:val="a0"/>
    <w:qFormat/>
    <w:rsid w:val="00150033"/>
    <w:pPr>
      <w:framePr w:w="7433" w:h="585" w:hRule="exact" w:hSpace="180" w:vSpace="180" w:wrap="around" w:hAnchor="margin" w:xAlign="center" w:y="14402" w:anchorLock="1"/>
      <w:widowControl/>
      <w:adjustRightInd w:val="0"/>
      <w:snapToGrid w:val="0"/>
      <w:spacing w:after="200" w:line="240" w:lineRule="atLeast"/>
      <w:jc w:val="center"/>
    </w:pPr>
    <w:rPr>
      <w:rFonts w:ascii="黑体" w:eastAsia="黑体" w:hAnsi="Tahoma"/>
      <w:spacing w:val="20"/>
      <w:w w:val="135"/>
      <w:kern w:val="0"/>
      <w:sz w:val="36"/>
      <w:szCs w:val="20"/>
    </w:rPr>
  </w:style>
  <w:style w:type="paragraph" w:customStyle="1" w:styleId="af5">
    <w:name w:val="段"/>
    <w:qFormat/>
    <w:rsid w:val="00150033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6">
    <w:name w:val="封面标准文稿类别"/>
    <w:qFormat/>
    <w:rsid w:val="00150033"/>
    <w:pPr>
      <w:spacing w:before="440" w:line="400" w:lineRule="exact"/>
      <w:jc w:val="center"/>
    </w:pPr>
    <w:rPr>
      <w:rFonts w:ascii="宋体" w:eastAsia="微软雅黑"/>
      <w:sz w:val="24"/>
      <w:szCs w:val="22"/>
    </w:rPr>
  </w:style>
  <w:style w:type="paragraph" w:customStyle="1" w:styleId="af7">
    <w:name w:val="标准书脚_偶数页"/>
    <w:qFormat/>
    <w:rsid w:val="00150033"/>
    <w:pPr>
      <w:spacing w:before="120"/>
    </w:pPr>
    <w:rPr>
      <w:rFonts w:eastAsia="微软雅黑"/>
      <w:sz w:val="18"/>
      <w:szCs w:val="22"/>
    </w:rPr>
  </w:style>
  <w:style w:type="paragraph" w:customStyle="1" w:styleId="af8">
    <w:name w:val="封面标准名称"/>
    <w:qFormat/>
    <w:rsid w:val="00150033"/>
    <w:pPr>
      <w:framePr w:w="9638" w:h="6917" w:hRule="exact" w:wrap="around" w:hAnchor="margin" w:xAlign="center" w:y="5956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reader-word-layer">
    <w:name w:val="reader-word-layer"/>
    <w:basedOn w:val="a0"/>
    <w:qFormat/>
    <w:rsid w:val="001500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9">
    <w:name w:val="封面标准英文名称"/>
    <w:qFormat/>
    <w:rsid w:val="00150033"/>
    <w:pPr>
      <w:widowControl w:val="0"/>
      <w:spacing w:before="370" w:line="400" w:lineRule="exact"/>
      <w:jc w:val="center"/>
    </w:pPr>
    <w:rPr>
      <w:rFonts w:eastAsia="微软雅黑"/>
      <w:sz w:val="28"/>
      <w:szCs w:val="22"/>
    </w:rPr>
  </w:style>
  <w:style w:type="paragraph" w:customStyle="1" w:styleId="afa">
    <w:name w:val="标准书眉一"/>
    <w:qFormat/>
    <w:rsid w:val="00150033"/>
    <w:pPr>
      <w:jc w:val="both"/>
    </w:pPr>
    <w:rPr>
      <w:rFonts w:eastAsia="微软雅黑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10</cp:revision>
  <cp:lastPrinted>2023-11-07T06:26:00Z</cp:lastPrinted>
  <dcterms:created xsi:type="dcterms:W3CDTF">2023-09-08T00:45:00Z</dcterms:created>
  <dcterms:modified xsi:type="dcterms:W3CDTF">2023-11-07T06:26:00Z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635C045D10534C58B6CD5E80650487D2_13</vt:lpwstr>
  </property>
</Properties>
</file>